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09" w:rsidRDefault="00D03C09" w:rsidP="00D03C09">
      <w:pPr>
        <w:spacing w:after="0" w:line="259" w:lineRule="auto"/>
        <w:ind w:left="0" w:firstLine="0"/>
        <w:jc w:val="left"/>
        <w:rPr>
          <w:szCs w:val="24"/>
        </w:rPr>
      </w:pPr>
      <w:bookmarkStart w:id="0" w:name="_GoBack"/>
      <w:bookmarkEnd w:id="0"/>
    </w:p>
    <w:p w:rsidR="00D03C09" w:rsidRPr="004B2D82" w:rsidRDefault="00D03C09" w:rsidP="00D03C09">
      <w:pPr>
        <w:spacing w:after="0" w:line="259" w:lineRule="auto"/>
        <w:ind w:left="14" w:firstLine="0"/>
        <w:jc w:val="left"/>
        <w:rPr>
          <w:szCs w:val="24"/>
        </w:rPr>
      </w:pPr>
    </w:p>
    <w:p w:rsidR="00D03C09" w:rsidRDefault="00D03C09" w:rsidP="00D03C09">
      <w:pPr>
        <w:spacing w:after="0" w:line="259" w:lineRule="auto"/>
        <w:ind w:left="14" w:firstLine="0"/>
        <w:jc w:val="center"/>
        <w:rPr>
          <w:b/>
          <w:szCs w:val="24"/>
        </w:rPr>
      </w:pPr>
      <w:r>
        <w:rPr>
          <w:b/>
          <w:szCs w:val="24"/>
        </w:rPr>
        <w:t>ACUERDOS ADOPTADOS EN LA JUNTA ORDINARIA</w:t>
      </w:r>
    </w:p>
    <w:p w:rsidR="00D03C09" w:rsidRDefault="00D03C09" w:rsidP="00D03C09">
      <w:pPr>
        <w:spacing w:after="0" w:line="259" w:lineRule="auto"/>
        <w:ind w:left="14" w:firstLine="0"/>
        <w:jc w:val="center"/>
        <w:rPr>
          <w:b/>
          <w:szCs w:val="24"/>
        </w:rPr>
      </w:pPr>
      <w:r>
        <w:rPr>
          <w:b/>
          <w:szCs w:val="24"/>
        </w:rPr>
        <w:t xml:space="preserve">DE </w:t>
      </w:r>
      <w:r w:rsidRPr="004B2D82">
        <w:rPr>
          <w:b/>
          <w:szCs w:val="24"/>
        </w:rPr>
        <w:t>20 DE DICIEMBRE DE 2017</w:t>
      </w:r>
    </w:p>
    <w:p w:rsidR="00D03C09" w:rsidRPr="00987A80" w:rsidRDefault="00D03C09" w:rsidP="00D03C09">
      <w:pPr>
        <w:spacing w:after="0" w:line="259" w:lineRule="auto"/>
        <w:ind w:left="14" w:firstLine="0"/>
        <w:jc w:val="center"/>
        <w:rPr>
          <w:szCs w:val="24"/>
        </w:rPr>
      </w:pPr>
    </w:p>
    <w:p w:rsidR="00D03C09" w:rsidRPr="004B2D82" w:rsidRDefault="00D03C09" w:rsidP="00D03C09">
      <w:pPr>
        <w:spacing w:after="11"/>
        <w:ind w:left="-5"/>
        <w:rPr>
          <w:color w:val="1A1A1A"/>
        </w:rPr>
      </w:pPr>
      <w:r w:rsidRPr="004B2D82">
        <w:rPr>
          <w:color w:val="1A1A1A"/>
        </w:rPr>
        <w:t xml:space="preserve">1.- Aprobación del acta de la Junta de 19 de octubre de 2017. </w:t>
      </w:r>
    </w:p>
    <w:p w:rsidR="00D03C09" w:rsidRPr="004B2D82" w:rsidRDefault="00D03C09" w:rsidP="00D03C09">
      <w:pPr>
        <w:spacing w:after="11"/>
        <w:ind w:left="-5"/>
        <w:rPr>
          <w:color w:val="1A1A1A"/>
        </w:rPr>
      </w:pPr>
    </w:p>
    <w:p w:rsidR="00D03C09" w:rsidRPr="004B2D82" w:rsidRDefault="00D03C09" w:rsidP="00D03C09">
      <w:pPr>
        <w:spacing w:after="120"/>
        <w:ind w:left="-5"/>
        <w:rPr>
          <w:color w:val="1A1A1A"/>
        </w:rPr>
      </w:pPr>
      <w:r w:rsidRPr="004B2D82">
        <w:rPr>
          <w:color w:val="1A1A1A"/>
        </w:rPr>
        <w:t xml:space="preserve">2. Ratificación de </w:t>
      </w:r>
      <w:r>
        <w:rPr>
          <w:color w:val="1A1A1A"/>
        </w:rPr>
        <w:t>asuntos aprobados en: Comisión Permanente:</w:t>
      </w:r>
    </w:p>
    <w:p w:rsidR="00D03C09" w:rsidRPr="004B2D82" w:rsidRDefault="00D03C09" w:rsidP="00D03C09">
      <w:pPr>
        <w:spacing w:after="11"/>
        <w:ind w:left="-5"/>
      </w:pPr>
      <w:r w:rsidRPr="00506328">
        <w:rPr>
          <w:color w:val="1A1A1A"/>
        </w:rPr>
        <w:tab/>
      </w:r>
      <w:r w:rsidRPr="00506328">
        <w:rPr>
          <w:color w:val="1A1A1A"/>
        </w:rPr>
        <w:tab/>
      </w:r>
      <w:r w:rsidRPr="004B2D82">
        <w:rPr>
          <w:color w:val="1A1A1A"/>
          <w:u w:val="single"/>
        </w:rPr>
        <w:t>Comisiones Permanentes de 6 y 27 de noviembre</w:t>
      </w:r>
      <w:r w:rsidRPr="004B2D82">
        <w:rPr>
          <w:color w:val="1A1A1A"/>
        </w:rPr>
        <w:t>: plazas de profesorado</w:t>
      </w:r>
    </w:p>
    <w:p w:rsidR="00D03C09" w:rsidRPr="004B2D82" w:rsidRDefault="00D03C09" w:rsidP="00D03C09">
      <w:pPr>
        <w:spacing w:after="0" w:line="259" w:lineRule="auto"/>
        <w:ind w:left="14" w:firstLine="0"/>
        <w:jc w:val="left"/>
        <w:rPr>
          <w:szCs w:val="24"/>
        </w:rPr>
      </w:pPr>
    </w:p>
    <w:p w:rsidR="00D03C09" w:rsidRPr="004B2D82" w:rsidRDefault="00D03C09" w:rsidP="00D03C09">
      <w:pPr>
        <w:tabs>
          <w:tab w:val="center" w:pos="2592"/>
          <w:tab w:val="center" w:pos="4073"/>
          <w:tab w:val="center" w:pos="5554"/>
          <w:tab w:val="center" w:pos="6526"/>
          <w:tab w:val="right" w:pos="8506"/>
        </w:tabs>
        <w:spacing w:after="11"/>
        <w:ind w:left="-15"/>
      </w:pPr>
      <w:r w:rsidRPr="004B2D82">
        <w:rPr>
          <w:szCs w:val="24"/>
        </w:rPr>
        <w:t>3. Premios Extraordinarios de Grados y Dobles Grados del curso 2015/2016.</w:t>
      </w:r>
      <w:r w:rsidRPr="004B2D82">
        <w:rPr>
          <w:color w:val="1A1A1A"/>
        </w:rPr>
        <w:t xml:space="preserve"> </w:t>
      </w:r>
    </w:p>
    <w:p w:rsidR="00D03C09" w:rsidRPr="004B2D82" w:rsidRDefault="00D03C09" w:rsidP="00D03C09">
      <w:pPr>
        <w:tabs>
          <w:tab w:val="center" w:pos="2592"/>
          <w:tab w:val="center" w:pos="4073"/>
          <w:tab w:val="center" w:pos="5554"/>
          <w:tab w:val="center" w:pos="6526"/>
          <w:tab w:val="right" w:pos="8506"/>
        </w:tabs>
        <w:spacing w:after="11"/>
        <w:ind w:left="-15"/>
      </w:pPr>
    </w:p>
    <w:p w:rsidR="00D03C09" w:rsidRPr="004B2D82" w:rsidRDefault="00D03C09" w:rsidP="00D03C09">
      <w:pPr>
        <w:tabs>
          <w:tab w:val="center" w:pos="2592"/>
          <w:tab w:val="center" w:pos="4073"/>
          <w:tab w:val="center" w:pos="5554"/>
          <w:tab w:val="center" w:pos="6526"/>
          <w:tab w:val="right" w:pos="8506"/>
        </w:tabs>
        <w:spacing w:after="11"/>
        <w:ind w:left="-15"/>
      </w:pPr>
      <w:r w:rsidRPr="004B2D82">
        <w:t>4. Informe sobre solicitud de cambio de adscripción departame</w:t>
      </w:r>
      <w:r>
        <w:t>n</w:t>
      </w:r>
      <w:r w:rsidRPr="004B2D82">
        <w:t>tal y de área de conocimiento de Doña María José Roca Fernández.</w:t>
      </w:r>
      <w:r w:rsidRPr="004B2D82">
        <w:rPr>
          <w:color w:val="1A1A1A"/>
        </w:rPr>
        <w:t xml:space="preserve"> </w:t>
      </w:r>
    </w:p>
    <w:p w:rsidR="00D03C09" w:rsidRPr="004B2D82" w:rsidRDefault="00D03C09" w:rsidP="00D03C09">
      <w:pPr>
        <w:spacing w:after="0"/>
      </w:pPr>
      <w:r w:rsidRPr="004B2D82">
        <w:rPr>
          <w:color w:val="1A1A1A"/>
        </w:rPr>
        <w:t xml:space="preserve"> </w:t>
      </w:r>
    </w:p>
    <w:p w:rsidR="00D03C09" w:rsidRPr="004B2D82" w:rsidRDefault="00D03C09" w:rsidP="00D03C09">
      <w:pPr>
        <w:spacing w:after="0"/>
        <w:rPr>
          <w:color w:val="1A1A1A"/>
        </w:rPr>
      </w:pPr>
      <w:r w:rsidRPr="004B2D82">
        <w:t>5. Cambio de asignaturas del Master Oficial en Derecho Internacional</w:t>
      </w:r>
      <w:r w:rsidRPr="004B2D82">
        <w:rPr>
          <w:color w:val="1A1A1A"/>
        </w:rPr>
        <w:t>:</w:t>
      </w:r>
    </w:p>
    <w:p w:rsidR="00D03C09" w:rsidRPr="004B2D82" w:rsidRDefault="00D03C09" w:rsidP="00D03C09">
      <w:pPr>
        <w:spacing w:after="0"/>
      </w:pPr>
    </w:p>
    <w:p w:rsidR="00D03C09" w:rsidRPr="003070D1" w:rsidRDefault="00D03C09" w:rsidP="00D03C09">
      <w:pPr>
        <w:pStyle w:val="Prrafodelista"/>
        <w:numPr>
          <w:ilvl w:val="0"/>
          <w:numId w:val="1"/>
        </w:numPr>
        <w:spacing w:after="120"/>
        <w:rPr>
          <w:b/>
          <w:color w:val="1A1A1A"/>
        </w:rPr>
      </w:pPr>
      <w:r>
        <w:t xml:space="preserve">Protección de los Derechos Humanos en el marco europeo (optativa, itinerario Derecho de la Unión europea, 6 créditos) en sustitución de la asignatura </w:t>
      </w:r>
      <w:r w:rsidRPr="003070D1">
        <w:rPr>
          <w:i/>
        </w:rPr>
        <w:t xml:space="preserve">Aplicación judicial y administrativa del </w:t>
      </w:r>
    </w:p>
    <w:p w:rsidR="00D03C09" w:rsidRDefault="00D03C09" w:rsidP="00D03C09">
      <w:pPr>
        <w:pStyle w:val="Prrafodelista"/>
        <w:spacing w:after="120"/>
        <w:ind w:firstLine="0"/>
      </w:pPr>
      <w:r w:rsidRPr="003070D1">
        <w:rPr>
          <w:i/>
        </w:rPr>
        <w:t>Derecho de la Unión Europea</w:t>
      </w:r>
      <w:r>
        <w:t xml:space="preserve">.  </w:t>
      </w:r>
    </w:p>
    <w:p w:rsidR="00D03C09" w:rsidRPr="003070D1" w:rsidRDefault="00D03C09" w:rsidP="00D03C09">
      <w:pPr>
        <w:pStyle w:val="Prrafodelista"/>
        <w:spacing w:after="120"/>
        <w:ind w:firstLine="0"/>
        <w:rPr>
          <w:b/>
          <w:color w:val="1A1A1A"/>
        </w:rPr>
      </w:pPr>
    </w:p>
    <w:p w:rsidR="00D03C09" w:rsidRPr="003070D1" w:rsidRDefault="00D03C09" w:rsidP="00D03C09">
      <w:pPr>
        <w:pStyle w:val="Prrafodelista"/>
        <w:numPr>
          <w:ilvl w:val="0"/>
          <w:numId w:val="1"/>
        </w:numPr>
        <w:spacing w:after="0"/>
        <w:rPr>
          <w:b/>
          <w:color w:val="1A1A1A"/>
        </w:rPr>
      </w:pPr>
      <w:r>
        <w:t xml:space="preserve">Derecho internacional penal y Derechos Humanos (Optativa, Itinerario internacional público, 6 créditos) en sustitución de la asignatura </w:t>
      </w:r>
      <w:r w:rsidRPr="003070D1">
        <w:rPr>
          <w:i/>
        </w:rPr>
        <w:t>Derechos Humanos y Derecho Humanitario"</w:t>
      </w:r>
      <w:r>
        <w:t xml:space="preserve">. </w:t>
      </w:r>
    </w:p>
    <w:p w:rsidR="00D03C09" w:rsidRDefault="00D03C09" w:rsidP="00D03C09">
      <w:pPr>
        <w:spacing w:after="0"/>
      </w:pPr>
      <w:r>
        <w:t xml:space="preserve"> </w:t>
      </w:r>
    </w:p>
    <w:p w:rsidR="00D03C09" w:rsidRPr="004B2D82" w:rsidRDefault="00D03C09" w:rsidP="00D03C09">
      <w:pPr>
        <w:spacing w:after="0"/>
        <w:rPr>
          <w:color w:val="1A1A1A"/>
        </w:rPr>
      </w:pPr>
      <w:r w:rsidRPr="004B2D82">
        <w:t>6</w:t>
      </w:r>
      <w:r w:rsidRPr="004B2D82">
        <w:rPr>
          <w:color w:val="1A1A1A"/>
        </w:rPr>
        <w:t xml:space="preserve">. – Aprobación de estatutos de la Revista Foro. </w:t>
      </w:r>
    </w:p>
    <w:p w:rsidR="00D03C09" w:rsidRPr="004B2D82" w:rsidRDefault="00D03C09" w:rsidP="00D03C09">
      <w:pPr>
        <w:spacing w:after="0"/>
      </w:pPr>
    </w:p>
    <w:p w:rsidR="00D03C09" w:rsidRPr="004B2D82" w:rsidRDefault="00D03C09" w:rsidP="00D03C09">
      <w:pPr>
        <w:spacing w:after="0"/>
      </w:pPr>
      <w:r w:rsidRPr="004B2D82">
        <w:t>7.- Designación del Prof. D. Rafael Hinojosa Segovia como representante de la Facultad en el Patronato de la Escuela de Práctica Jurídica de la UCM.</w:t>
      </w:r>
    </w:p>
    <w:p w:rsidR="00D03C09" w:rsidRPr="004B2D82" w:rsidRDefault="00D03C09" w:rsidP="00D03C09">
      <w:pPr>
        <w:spacing w:after="0"/>
      </w:pPr>
    </w:p>
    <w:p w:rsidR="00D03C09" w:rsidRDefault="00D03C09" w:rsidP="00D03C09">
      <w:pPr>
        <w:spacing w:after="0"/>
      </w:pPr>
      <w:r w:rsidRPr="004B2D82">
        <w:t>8. Ampliación de número de plazas del Centro de Estudios Superiores CUNEF.</w:t>
      </w:r>
    </w:p>
    <w:p w:rsidR="00B8244A" w:rsidRDefault="00B8244A"/>
    <w:sectPr w:rsidR="00B824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1E" w:rsidRDefault="0004271E" w:rsidP="00D03C09">
      <w:pPr>
        <w:spacing w:after="0" w:line="240" w:lineRule="auto"/>
      </w:pPr>
      <w:r>
        <w:separator/>
      </w:r>
    </w:p>
  </w:endnote>
  <w:endnote w:type="continuationSeparator" w:id="0">
    <w:p w:rsidR="0004271E" w:rsidRDefault="0004271E" w:rsidP="00D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1E" w:rsidRDefault="0004271E" w:rsidP="00D03C09">
      <w:pPr>
        <w:spacing w:after="0" w:line="240" w:lineRule="auto"/>
      </w:pPr>
      <w:r>
        <w:separator/>
      </w:r>
    </w:p>
  </w:footnote>
  <w:footnote w:type="continuationSeparator" w:id="0">
    <w:p w:rsidR="0004271E" w:rsidRDefault="0004271E" w:rsidP="00D0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09" w:rsidRDefault="00D03C09" w:rsidP="00D03C09">
    <w:pPr>
      <w:pStyle w:val="Encabezado"/>
      <w:jc w:val="center"/>
    </w:pPr>
    <w:r>
      <w:rPr>
        <w:noProof/>
      </w:rPr>
      <w:drawing>
        <wp:inline distT="0" distB="0" distL="0" distR="0" wp14:anchorId="0DA76E3B" wp14:editId="6B3C7D9C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702"/>
    <w:multiLevelType w:val="hybridMultilevel"/>
    <w:tmpl w:val="93DE2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9"/>
    <w:rsid w:val="0004271E"/>
    <w:rsid w:val="00B8244A"/>
    <w:rsid w:val="00D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37EC-9CAA-4E7C-AD68-CA39F91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09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C09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3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09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>EQUIPO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2020-01-22T08:17:00Z</dcterms:created>
  <dcterms:modified xsi:type="dcterms:W3CDTF">2020-01-22T08:19:00Z</dcterms:modified>
</cp:coreProperties>
</file>